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FC79" w14:textId="5BB03D9C" w:rsidR="00787D19" w:rsidRDefault="00787D19">
      <w:pPr>
        <w:pStyle w:val="berschrift3"/>
        <w:rPr>
          <w:color w:val="auto"/>
          <w:lang w:val="de-CH"/>
        </w:rPr>
      </w:pPr>
      <w:bookmarkStart w:id="0" w:name="_Toc2"/>
      <w:bookmarkStart w:id="1" w:name="_GoBack"/>
      <w:bookmarkEnd w:id="1"/>
      <w:r w:rsidRPr="00787D19">
        <w:rPr>
          <w:color w:val="auto"/>
          <w:lang w:val="de-CH"/>
        </w:rPr>
        <w:t>Ursachen von Food Waste überblicken und unterscheiden</w:t>
      </w:r>
      <w:r w:rsidR="00B14060">
        <w:rPr>
          <w:color w:val="auto"/>
          <w:lang w:val="de-CH"/>
        </w:rPr>
        <w:t xml:space="preserve"> –</w:t>
      </w:r>
      <w:r>
        <w:rPr>
          <w:color w:val="auto"/>
          <w:lang w:val="de-CH"/>
        </w:rPr>
        <w:t xml:space="preserve"> Lösungen</w:t>
      </w:r>
    </w:p>
    <w:p w14:paraId="57556707" w14:textId="77777777" w:rsidR="003E17B3" w:rsidRPr="003E17B3" w:rsidRDefault="003E17B3" w:rsidP="003E17B3">
      <w:pPr>
        <w:rPr>
          <w:sz w:val="24"/>
          <w:szCs w:val="24"/>
          <w:lang w:val="de-DE"/>
        </w:rPr>
      </w:pPr>
    </w:p>
    <w:p w14:paraId="5C07A4B8" w14:textId="77777777" w:rsidR="00364DA4" w:rsidRPr="00787D19" w:rsidRDefault="00536C27">
      <w:pPr>
        <w:pStyle w:val="berschrift3"/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AUFGABE A</w:t>
      </w:r>
      <w:bookmarkEnd w:id="0"/>
    </w:p>
    <w:p w14:paraId="2C46FCF0" w14:textId="77777777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Wie viele kg Lebensmittel werden in der Schweiz entlang der gesamten Lebensmittelkette pro Person und Jahr durchschnittlich weggeworfen?</w:t>
      </w:r>
    </w:p>
    <w:p w14:paraId="3A6251B7" w14:textId="77777777" w:rsidR="00787D19" w:rsidRPr="00787D19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Food Waste pro Person und Jahr entlang der gesamten Kette: 330 kg</w:t>
      </w:r>
    </w:p>
    <w:p w14:paraId="68E59ABE" w14:textId="77777777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Wie viele kg Lebensmittel werden in einem Haushalt pro Person und Jahr durchschnittlich weggeworfen?</w:t>
      </w:r>
    </w:p>
    <w:p w14:paraId="4B6E4CE1" w14:textId="77777777" w:rsidR="00787D19" w:rsidRPr="00787D19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Food Waste pro Person und Jahr in einem Haushalt: 90 kg</w:t>
      </w:r>
    </w:p>
    <w:p w14:paraId="6188361E" w14:textId="77777777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Auf welcher Stufe der Lebensmittelkette entsteht am meisten Food Waste?</w:t>
      </w:r>
    </w:p>
    <w:p w14:paraId="419109B2" w14:textId="77777777" w:rsidR="00787D19" w:rsidRPr="00787D19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Stufe der Lebensmittelkette mit dem grössten Food-Waste-Anteil: Verarbeitung (35 %)</w:t>
      </w:r>
    </w:p>
    <w:p w14:paraId="742DC19C" w14:textId="77777777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Wie viel Prozent des gesamten Food Waste verursachen wir als Konsumentinnen und Konsumenten in den Haushalten?</w:t>
      </w:r>
    </w:p>
    <w:p w14:paraId="1A69769C" w14:textId="77777777" w:rsidR="00787D19" w:rsidRPr="00787D19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Food-Waste-Anteil der Haushalte: 28 %</w:t>
      </w:r>
    </w:p>
    <w:p w14:paraId="5AF7F8BD" w14:textId="77777777" w:rsidR="00364DA4" w:rsidRPr="00787D19" w:rsidRDefault="00364DA4">
      <w:pPr>
        <w:rPr>
          <w:sz w:val="24"/>
          <w:szCs w:val="24"/>
          <w:lang w:val="de-DE"/>
        </w:rPr>
      </w:pPr>
    </w:p>
    <w:p w14:paraId="760E6218" w14:textId="77777777" w:rsidR="00364DA4" w:rsidRPr="00787D19" w:rsidRDefault="00536C27">
      <w:pPr>
        <w:pStyle w:val="berschrift3"/>
        <w:rPr>
          <w:sz w:val="24"/>
          <w:szCs w:val="24"/>
          <w:lang w:val="de-CH"/>
        </w:rPr>
      </w:pPr>
      <w:bookmarkStart w:id="2" w:name="_Toc3"/>
      <w:r w:rsidRPr="00787D19">
        <w:rPr>
          <w:sz w:val="24"/>
          <w:szCs w:val="24"/>
          <w:lang w:val="de-CH"/>
        </w:rPr>
        <w:t>AUFGABE B</w:t>
      </w:r>
      <w:bookmarkEnd w:id="2"/>
    </w:p>
    <w:p w14:paraId="20D62117" w14:textId="77777777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 xml:space="preserve">Welche Unterschiede zeigen sich zwischen Industrieländern (z.B. Europa, Nordamerika) und Entwicklungsländern (z.B. Afrika)? </w:t>
      </w:r>
    </w:p>
    <w:p w14:paraId="51C03843" w14:textId="77777777" w:rsidR="00787D19" w:rsidRPr="00787D19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Der Anteil des Food Waste durch die Haushalte (am gesamten Food Waste) ist in Industrieländern viel grösser als in Entwicklungsländern.</w:t>
      </w:r>
    </w:p>
    <w:p w14:paraId="563B3210" w14:textId="5FA1E20D" w:rsidR="00787D19" w:rsidRP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Formuliere Vermutungen zu Gründen für die Unterschiede</w:t>
      </w:r>
      <w:r w:rsidR="00B14060">
        <w:rPr>
          <w:b/>
          <w:sz w:val="24"/>
          <w:szCs w:val="24"/>
          <w:lang w:val="de-CH"/>
        </w:rPr>
        <w:t>.</w:t>
      </w:r>
    </w:p>
    <w:p w14:paraId="37FC73D8" w14:textId="43DD9631" w:rsidR="00364DA4" w:rsidRDefault="00787D19" w:rsidP="00787D19">
      <w:pPr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Nahrungsmittel sind bei uns im Vergleich zum Einkommen relativ günstig. Wir können e</w:t>
      </w:r>
      <w:r w:rsidR="00616834">
        <w:rPr>
          <w:sz w:val="24"/>
          <w:szCs w:val="24"/>
          <w:lang w:val="de-CH"/>
        </w:rPr>
        <w:t>s uns leisten, mehr einzukaufen</w:t>
      </w:r>
      <w:r w:rsidR="00560168">
        <w:rPr>
          <w:sz w:val="24"/>
          <w:szCs w:val="24"/>
          <w:lang w:val="de-CH"/>
        </w:rPr>
        <w:t>,</w:t>
      </w:r>
      <w:r w:rsidRPr="00787D19">
        <w:rPr>
          <w:sz w:val="24"/>
          <w:szCs w:val="24"/>
          <w:lang w:val="de-CH"/>
        </w:rPr>
        <w:t xml:space="preserve"> als wir brauchen</w:t>
      </w:r>
      <w:r w:rsidR="0099299C">
        <w:rPr>
          <w:sz w:val="24"/>
          <w:szCs w:val="24"/>
          <w:lang w:val="de-CH"/>
        </w:rPr>
        <w:t>,</w:t>
      </w:r>
      <w:r w:rsidRPr="00787D19">
        <w:rPr>
          <w:sz w:val="24"/>
          <w:szCs w:val="24"/>
          <w:lang w:val="de-CH"/>
        </w:rPr>
        <w:t xml:space="preserve"> und Lebensmittel wegzuwerfen.</w:t>
      </w:r>
    </w:p>
    <w:p w14:paraId="6AF4EBC0" w14:textId="77777777" w:rsidR="00787D19" w:rsidRDefault="00787D19" w:rsidP="00787D19">
      <w:pPr>
        <w:pStyle w:val="berschrift3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lastRenderedPageBreak/>
        <w:t>AUFGABE C</w:t>
      </w:r>
    </w:p>
    <w:p w14:paraId="51050D20" w14:textId="77777777" w:rsidR="00787D19" w:rsidRPr="00787D19" w:rsidRDefault="00787D19" w:rsidP="00787D19">
      <w:pPr>
        <w:pStyle w:val="berschrift3"/>
        <w:rPr>
          <w:bCs w:val="0"/>
          <w:color w:val="auto"/>
          <w:sz w:val="24"/>
          <w:szCs w:val="24"/>
          <w:lang w:val="de-CH"/>
        </w:rPr>
      </w:pPr>
      <w:r w:rsidRPr="00787D19">
        <w:rPr>
          <w:bCs w:val="0"/>
          <w:color w:val="auto"/>
          <w:sz w:val="24"/>
          <w:szCs w:val="24"/>
          <w:lang w:val="de-CH"/>
        </w:rPr>
        <w:t>Tragt eure Ergebnisse zu den Ursachen von Food Waste in der Klasse zusammen und haltet sie gemeinsam in einer Tabelle oder einem Mindmap fest.</w:t>
      </w:r>
    </w:p>
    <w:tbl>
      <w:tblPr>
        <w:tblStyle w:val="Tabellenraster"/>
        <w:tblW w:w="8528" w:type="dxa"/>
        <w:tblLayout w:type="fixed"/>
        <w:tblLook w:val="04A0" w:firstRow="1" w:lastRow="0" w:firstColumn="1" w:lastColumn="0" w:noHBand="0" w:noVBand="1"/>
      </w:tblPr>
      <w:tblGrid>
        <w:gridCol w:w="2007"/>
        <w:gridCol w:w="6521"/>
      </w:tblGrid>
      <w:tr w:rsidR="00072151" w:rsidRPr="00D55178" w14:paraId="1F18C362" w14:textId="77777777" w:rsidTr="00EA6702">
        <w:trPr>
          <w:trHeight w:val="469"/>
        </w:trPr>
        <w:tc>
          <w:tcPr>
            <w:tcW w:w="2007" w:type="dxa"/>
          </w:tcPr>
          <w:p w14:paraId="4A79162C" w14:textId="77777777" w:rsidR="00072151" w:rsidRPr="00D55178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 w:rsidRPr="00D55178">
              <w:rPr>
                <w:rFonts w:ascii="Arial" w:hAnsi="Arial"/>
                <w:b/>
                <w:sz w:val="20"/>
                <w:szCs w:val="20"/>
              </w:rPr>
              <w:t xml:space="preserve">Stufe der </w:t>
            </w:r>
            <w:r>
              <w:rPr>
                <w:rFonts w:ascii="Arial" w:hAnsi="Arial"/>
                <w:b/>
                <w:sz w:val="20"/>
                <w:szCs w:val="20"/>
              </w:rPr>
              <w:t>Lebensmittelkette</w:t>
            </w:r>
          </w:p>
        </w:tc>
        <w:tc>
          <w:tcPr>
            <w:tcW w:w="6521" w:type="dxa"/>
          </w:tcPr>
          <w:p w14:paraId="22548255" w14:textId="77777777" w:rsidR="00072151" w:rsidRPr="00D55178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 w:rsidRPr="00D55178">
              <w:rPr>
                <w:rFonts w:ascii="Arial" w:hAnsi="Arial"/>
                <w:b/>
                <w:sz w:val="20"/>
                <w:szCs w:val="20"/>
              </w:rPr>
              <w:t>Gründe für Food Waste</w:t>
            </w:r>
          </w:p>
        </w:tc>
      </w:tr>
      <w:tr w:rsidR="00072151" w14:paraId="59FF4EB8" w14:textId="77777777" w:rsidTr="00EA6702">
        <w:trPr>
          <w:trHeight w:val="938"/>
        </w:trPr>
        <w:tc>
          <w:tcPr>
            <w:tcW w:w="2007" w:type="dxa"/>
          </w:tcPr>
          <w:p w14:paraId="140C4B8A" w14:textId="77777777" w:rsidR="00072151" w:rsidRPr="00575FBA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 w:rsidRPr="00575FBA">
              <w:rPr>
                <w:rFonts w:ascii="Arial" w:hAnsi="Arial"/>
                <w:b/>
                <w:sz w:val="20"/>
                <w:szCs w:val="20"/>
              </w:rPr>
              <w:t>Landwirtschaft</w:t>
            </w:r>
          </w:p>
        </w:tc>
        <w:tc>
          <w:tcPr>
            <w:tcW w:w="6521" w:type="dxa"/>
          </w:tcPr>
          <w:p w14:paraId="36BAA4CE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Ernterückstände (v.a. technische Gründe)</w:t>
            </w:r>
          </w:p>
          <w:p w14:paraId="31514B1A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Aussortierung von Nahrungsmitteln (Vorgaben durch Industrie), z.B. Grösse, Form, Farbe</w:t>
            </w:r>
          </w:p>
          <w:p w14:paraId="16BAFD3D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Überproduktion (Ernte &gt; Nachfrage)</w:t>
            </w:r>
          </w:p>
          <w:p w14:paraId="1E91CA01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072151" w14:paraId="3D45A7AA" w14:textId="77777777" w:rsidTr="00EA6702">
        <w:trPr>
          <w:trHeight w:val="117"/>
        </w:trPr>
        <w:tc>
          <w:tcPr>
            <w:tcW w:w="2007" w:type="dxa"/>
          </w:tcPr>
          <w:p w14:paraId="327BD830" w14:textId="77777777" w:rsidR="00072151" w:rsidRPr="003D0DC0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 w:rsidRPr="008F2FA1">
              <w:rPr>
                <w:rFonts w:ascii="Arial" w:hAnsi="Arial"/>
                <w:b/>
                <w:sz w:val="20"/>
                <w:szCs w:val="20"/>
              </w:rPr>
              <w:t>Verarbeitung (insb. Industrie)</w:t>
            </w:r>
          </w:p>
        </w:tc>
        <w:tc>
          <w:tcPr>
            <w:tcW w:w="6521" w:type="dxa"/>
          </w:tcPr>
          <w:p w14:paraId="54218021" w14:textId="77777777" w:rsidR="00072151" w:rsidRPr="009412F6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Schäden</w:t>
            </w:r>
            <w:r w:rsidRPr="005B6A5C">
              <w:rPr>
                <w:rFonts w:ascii="Arial" w:hAnsi="Arial"/>
                <w:sz w:val="20"/>
                <w:szCs w:val="20"/>
              </w:rPr>
              <w:t>, z.B. b</w:t>
            </w:r>
            <w:r>
              <w:rPr>
                <w:rFonts w:ascii="Arial" w:hAnsi="Arial"/>
                <w:sz w:val="20"/>
                <w:szCs w:val="20"/>
              </w:rPr>
              <w:t>ei Transport, Lagerung</w:t>
            </w:r>
          </w:p>
          <w:p w14:paraId="243D51E6" w14:textId="77777777" w:rsidR="00072151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B6A5C">
              <w:rPr>
                <w:rFonts w:ascii="Arial" w:hAnsi="Arial"/>
                <w:sz w:val="20"/>
                <w:szCs w:val="20"/>
              </w:rPr>
              <w:t>Ungenutzte Nebenprodukte, z.B. Innereien, Molke (bei der Käseproduktion)</w:t>
            </w:r>
            <w:r>
              <w:rPr>
                <w:rFonts w:ascii="Arial" w:hAnsi="Arial"/>
                <w:sz w:val="20"/>
                <w:szCs w:val="20"/>
              </w:rPr>
              <w:t>, Kleie</w:t>
            </w:r>
          </w:p>
          <w:p w14:paraId="5F7BAB36" w14:textId="77777777" w:rsidR="00072151" w:rsidRPr="005B6A5C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B6A5C">
              <w:rPr>
                <w:rFonts w:ascii="Arial" w:hAnsi="Arial"/>
                <w:sz w:val="20"/>
                <w:szCs w:val="20"/>
              </w:rPr>
              <w:t>Fehlproduktionen/Qualitätsmängel (technisches/menschliches Versagen)</w:t>
            </w:r>
          </w:p>
          <w:p w14:paraId="26641B79" w14:textId="77777777" w:rsidR="00072151" w:rsidRPr="005B6A5C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Verluste, z.B. beim Umschütten</w:t>
            </w:r>
          </w:p>
          <w:p w14:paraId="697EB72A" w14:textId="77777777" w:rsidR="00072151" w:rsidRPr="00AD370E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AD370E"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072151" w14:paraId="61E0CA49" w14:textId="77777777" w:rsidTr="00EA6702">
        <w:trPr>
          <w:trHeight w:val="117"/>
        </w:trPr>
        <w:tc>
          <w:tcPr>
            <w:tcW w:w="2007" w:type="dxa"/>
          </w:tcPr>
          <w:p w14:paraId="343E03B1" w14:textId="77777777" w:rsidR="00072151" w:rsidRPr="003D0DC0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Gross- und Detailhandel</w:t>
            </w:r>
          </w:p>
        </w:tc>
        <w:tc>
          <w:tcPr>
            <w:tcW w:w="6521" w:type="dxa"/>
          </w:tcPr>
          <w:p w14:paraId="4A207C76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Verdorbene und beschädigte Ware, z.B. durch Transport, Lagerung</w:t>
            </w:r>
          </w:p>
          <w:p w14:paraId="5B538891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Abgelaufene Ware (Verbrauchs-/ Mindesthaltbarkeitsdatum)</w:t>
            </w:r>
          </w:p>
          <w:p w14:paraId="2EAB0A61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Liegengebliebene Ware, z.B. Überangebot, Produkte sehen nicht «perfekt» aus</w:t>
            </w:r>
          </w:p>
          <w:p w14:paraId="72B9EDB2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072151" w14:paraId="23795CD3" w14:textId="77777777" w:rsidTr="00EA6702">
        <w:trPr>
          <w:trHeight w:val="694"/>
        </w:trPr>
        <w:tc>
          <w:tcPr>
            <w:tcW w:w="2007" w:type="dxa"/>
          </w:tcPr>
          <w:p w14:paraId="07BD3FD8" w14:textId="77777777" w:rsidR="00072151" w:rsidRPr="00575FBA" w:rsidRDefault="00072151" w:rsidP="00EA6702">
            <w:pPr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b/>
                <w:sz w:val="20"/>
                <w:szCs w:val="20"/>
              </w:rPr>
              <w:t>Gastronomie</w:t>
            </w:r>
          </w:p>
        </w:tc>
        <w:tc>
          <w:tcPr>
            <w:tcW w:w="6521" w:type="dxa"/>
          </w:tcPr>
          <w:p w14:paraId="0246F579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Fehlproduktionen (menschliches Versagen)</w:t>
            </w:r>
          </w:p>
          <w:p w14:paraId="7743D8AD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Essensreste, z.B. Überproduktion, Tellerreste</w:t>
            </w:r>
          </w:p>
          <w:p w14:paraId="00DC6E1F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072151" w14:paraId="0A2B74CA" w14:textId="77777777" w:rsidTr="00EA6702">
        <w:trPr>
          <w:trHeight w:val="1427"/>
        </w:trPr>
        <w:tc>
          <w:tcPr>
            <w:tcW w:w="2007" w:type="dxa"/>
          </w:tcPr>
          <w:p w14:paraId="01EAE206" w14:textId="77777777" w:rsidR="00072151" w:rsidRPr="0043577F" w:rsidRDefault="00072151" w:rsidP="00EA670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Haushalte</w:t>
            </w:r>
          </w:p>
        </w:tc>
        <w:tc>
          <w:tcPr>
            <w:tcW w:w="6521" w:type="dxa"/>
          </w:tcPr>
          <w:p w14:paraId="2AEDB737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Wir können es uns leisten, mehr einzukaufen, als wir benötigen.</w:t>
            </w:r>
          </w:p>
          <w:p w14:paraId="7C9A8F8F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 xml:space="preserve">Fehlende Wertschätzung von Nahrungsmitteln, z.B. keine Lust auf das, was vorrätig ist; «vergessen», keine Resteverwertung </w:t>
            </w:r>
          </w:p>
          <w:p w14:paraId="50826097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Mangelndes Wissen, z.B. Lagerung, Haltbarkeit («mind. haltbar bis» ≠ «zu verbrauchen bis»)</w:t>
            </w:r>
          </w:p>
          <w:p w14:paraId="34C057D9" w14:textId="77777777" w:rsidR="00072151" w:rsidRPr="00152DB1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152DB1">
              <w:rPr>
                <w:rFonts w:ascii="Arial" w:hAnsi="Arial"/>
                <w:sz w:val="20"/>
                <w:szCs w:val="20"/>
              </w:rPr>
              <w:t>Fehlendes Bewusstsein über eigenen Food Waste</w:t>
            </w:r>
          </w:p>
          <w:p w14:paraId="51F6F540" w14:textId="77777777" w:rsidR="00072151" w:rsidRPr="00575FBA" w:rsidRDefault="00072151" w:rsidP="00072151">
            <w:pPr>
              <w:pStyle w:val="Listenabsatz"/>
              <w:numPr>
                <w:ilvl w:val="0"/>
                <w:numId w:val="7"/>
              </w:numPr>
              <w:ind w:left="284" w:hanging="207"/>
              <w:rPr>
                <w:rFonts w:ascii="Arial" w:hAnsi="Arial"/>
                <w:sz w:val="20"/>
                <w:szCs w:val="20"/>
              </w:rPr>
            </w:pPr>
            <w:r w:rsidRPr="00575FBA">
              <w:rPr>
                <w:rFonts w:ascii="Arial" w:hAnsi="Arial"/>
                <w:sz w:val="20"/>
                <w:szCs w:val="20"/>
              </w:rPr>
              <w:t>…</w:t>
            </w:r>
          </w:p>
        </w:tc>
      </w:tr>
    </w:tbl>
    <w:p w14:paraId="47A6B776" w14:textId="402C295F" w:rsidR="00787D19" w:rsidRPr="00787D19" w:rsidRDefault="00787D19" w:rsidP="00787D19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br/>
      </w:r>
    </w:p>
    <w:p w14:paraId="61D8F58B" w14:textId="77777777" w:rsidR="00787D19" w:rsidRDefault="00787D19" w:rsidP="00787D19">
      <w:pPr>
        <w:rPr>
          <w:sz w:val="24"/>
          <w:szCs w:val="24"/>
          <w:lang w:val="de-CH"/>
        </w:rPr>
        <w:sectPr w:rsidR="00787D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700" w:right="1133" w:bottom="1700" w:left="1700" w:header="720" w:footer="720" w:gutter="0"/>
          <w:cols w:space="720"/>
          <w:titlePg/>
        </w:sectPr>
      </w:pPr>
    </w:p>
    <w:p w14:paraId="5B50C0DE" w14:textId="77777777" w:rsidR="00787D19" w:rsidRDefault="00DC440F" w:rsidP="00787D19">
      <w:pPr>
        <w:rPr>
          <w:sz w:val="24"/>
          <w:szCs w:val="24"/>
          <w:lang w:val="de-CH"/>
        </w:rPr>
      </w:pPr>
      <w:r>
        <w:rPr>
          <w:noProof/>
          <w:sz w:val="24"/>
          <w:szCs w:val="24"/>
          <w:lang w:val="de-CH"/>
        </w:rPr>
        <w:lastRenderedPageBreak/>
        <w:drawing>
          <wp:inline distT="0" distB="0" distL="0" distR="0" wp14:anchorId="3A495C42" wp14:editId="2B6513A3">
            <wp:extent cx="8775700" cy="4420546"/>
            <wp:effectExtent l="25400" t="25400" r="12700" b="24765"/>
            <wp:docPr id="2" name="Bild 2" descr="Macintosh HD:Users:zoraschelbert:Desktop:Ursachen von Food Waste entlang der Lebensmittelk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oraschelbert:Desktop:Ursachen von Food Waste entlang der Lebensmittelkett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18" cy="44207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3E9A7" w14:textId="77777777" w:rsidR="00787D19" w:rsidRPr="00787D19" w:rsidRDefault="00787D19" w:rsidP="00787D19">
      <w:pPr>
        <w:rPr>
          <w:rStyle w:val="Hyperlink"/>
          <w:lang w:val="de-CH"/>
        </w:rPr>
      </w:pPr>
      <w:r>
        <w:rPr>
          <w:sz w:val="24"/>
          <w:szCs w:val="24"/>
          <w:lang w:val="de-CH"/>
        </w:rPr>
        <w:tab/>
      </w:r>
      <w:r w:rsidRPr="00787D19">
        <w:rPr>
          <w:rFonts w:eastAsia="Times New Roman"/>
          <w:lang w:val="de-CH"/>
        </w:rPr>
        <w:t xml:space="preserve">Zur Online-Ansicht des Mindmaps: </w:t>
      </w:r>
      <w:hyperlink r:id="rId14" w:history="1">
        <w:r w:rsidRPr="00787D19">
          <w:rPr>
            <w:rStyle w:val="Hyperlink"/>
            <w:lang w:val="de-CH"/>
          </w:rPr>
          <w:t>https://app.wisemapping.com/c/maps/1128968/public</w:t>
        </w:r>
      </w:hyperlink>
    </w:p>
    <w:p w14:paraId="65277FCF" w14:textId="77777777" w:rsidR="00787D19" w:rsidRDefault="00787D19" w:rsidP="00787D19">
      <w:pPr>
        <w:tabs>
          <w:tab w:val="left" w:pos="2710"/>
        </w:tabs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br w:type="page"/>
      </w:r>
    </w:p>
    <w:p w14:paraId="375F27BA" w14:textId="77777777" w:rsidR="00787D19" w:rsidRDefault="00787D19" w:rsidP="00787D19">
      <w:pPr>
        <w:tabs>
          <w:tab w:val="left" w:pos="2710"/>
        </w:tabs>
        <w:rPr>
          <w:sz w:val="24"/>
          <w:szCs w:val="24"/>
          <w:lang w:val="de-CH"/>
        </w:rPr>
        <w:sectPr w:rsidR="00787D19" w:rsidSect="00787D19">
          <w:pgSz w:w="16837" w:h="11905" w:orient="landscape"/>
          <w:pgMar w:top="1700" w:right="1700" w:bottom="1133" w:left="1700" w:header="720" w:footer="720" w:gutter="0"/>
          <w:cols w:space="720"/>
          <w:titlePg/>
          <w:docGrid w:linePitch="299"/>
        </w:sectPr>
      </w:pPr>
    </w:p>
    <w:p w14:paraId="5883EA41" w14:textId="77777777" w:rsidR="00787D19" w:rsidRPr="00787D19" w:rsidRDefault="00787D19" w:rsidP="00787D19">
      <w:pPr>
        <w:pStyle w:val="berschrift3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AUFGABE D</w:t>
      </w:r>
    </w:p>
    <w:p w14:paraId="57BE97BA" w14:textId="77777777" w:rsidR="00787D19" w:rsidRDefault="00787D19" w:rsidP="00787D19">
      <w:pPr>
        <w:rPr>
          <w:b/>
          <w:sz w:val="24"/>
          <w:szCs w:val="24"/>
          <w:lang w:val="de-CH"/>
        </w:rPr>
      </w:pPr>
      <w:r w:rsidRPr="00787D19">
        <w:rPr>
          <w:b/>
          <w:sz w:val="24"/>
          <w:szCs w:val="24"/>
          <w:lang w:val="de-CH"/>
        </w:rPr>
        <w:t>Welche Gründe für Food Waste entlang der Lebensmittelkette werden in der Reportage thematisiert?</w:t>
      </w:r>
    </w:p>
    <w:p w14:paraId="45CFABC9" w14:textId="77777777" w:rsidR="00787D19" w:rsidRPr="00787D19" w:rsidRDefault="00787D19" w:rsidP="00787D19">
      <w:pPr>
        <w:tabs>
          <w:tab w:val="left" w:pos="2710"/>
        </w:tabs>
        <w:spacing w:after="0"/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Landwirtschaft</w:t>
      </w:r>
    </w:p>
    <w:p w14:paraId="4AFE2977" w14:textId="77777777" w:rsidR="00787D19" w:rsidRPr="00787D19" w:rsidRDefault="00787D19" w:rsidP="00787D19">
      <w:pPr>
        <w:pStyle w:val="Listenabsatz"/>
        <w:numPr>
          <w:ilvl w:val="0"/>
          <w:numId w:val="8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Ernterückstände (v.a. technische Gründe)</w:t>
      </w:r>
    </w:p>
    <w:p w14:paraId="1389A635" w14:textId="77777777" w:rsidR="00787D19" w:rsidRPr="00787D19" w:rsidRDefault="00787D19" w:rsidP="00787D19">
      <w:pPr>
        <w:pStyle w:val="Listenabsatz"/>
        <w:numPr>
          <w:ilvl w:val="0"/>
          <w:numId w:val="8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Aussortierung von Nahrungsmitteln (Vorgaben durch Industrie), z.B. Grösse, Form, Farbe</w:t>
      </w:r>
    </w:p>
    <w:p w14:paraId="22B9E8EB" w14:textId="77777777" w:rsidR="00787D19" w:rsidRDefault="00787D19" w:rsidP="00787D19">
      <w:pPr>
        <w:pStyle w:val="Listenabsatz"/>
        <w:numPr>
          <w:ilvl w:val="0"/>
          <w:numId w:val="8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Überproduktion (Ernte &gt; Nachfrage)</w:t>
      </w:r>
    </w:p>
    <w:p w14:paraId="5129328C" w14:textId="77777777" w:rsidR="00787D19" w:rsidRPr="00787D19" w:rsidRDefault="00787D19" w:rsidP="00787D19">
      <w:pPr>
        <w:pStyle w:val="Listenabsatz"/>
        <w:tabs>
          <w:tab w:val="left" w:pos="2710"/>
        </w:tabs>
        <w:rPr>
          <w:rFonts w:ascii="Arial" w:hAnsi="Arial" w:cs="Arial"/>
          <w:lang w:val="de-CH"/>
        </w:rPr>
      </w:pPr>
    </w:p>
    <w:p w14:paraId="34850106" w14:textId="77777777" w:rsidR="00787D19" w:rsidRPr="00787D19" w:rsidRDefault="00787D19" w:rsidP="00787D19">
      <w:pPr>
        <w:tabs>
          <w:tab w:val="left" w:pos="2710"/>
        </w:tabs>
        <w:spacing w:after="0"/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Gastronomie</w:t>
      </w:r>
    </w:p>
    <w:p w14:paraId="6D8506B0" w14:textId="77777777" w:rsidR="00787D19" w:rsidRDefault="00787D19" w:rsidP="00787D19">
      <w:pPr>
        <w:pStyle w:val="Listenabsatz"/>
        <w:numPr>
          <w:ilvl w:val="0"/>
          <w:numId w:val="9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Essensreste: Überproduktion, Tellerreste</w:t>
      </w:r>
    </w:p>
    <w:p w14:paraId="235E8108" w14:textId="77777777" w:rsidR="00787D19" w:rsidRPr="00787D19" w:rsidRDefault="00787D19" w:rsidP="00787D19">
      <w:pPr>
        <w:pStyle w:val="Listenabsatz"/>
        <w:tabs>
          <w:tab w:val="left" w:pos="2710"/>
        </w:tabs>
        <w:rPr>
          <w:rFonts w:ascii="Arial" w:hAnsi="Arial" w:cs="Arial"/>
          <w:lang w:val="de-CH"/>
        </w:rPr>
      </w:pPr>
    </w:p>
    <w:p w14:paraId="7B88C361" w14:textId="77777777" w:rsidR="00787D19" w:rsidRPr="00787D19" w:rsidRDefault="00787D19" w:rsidP="00787D19">
      <w:pPr>
        <w:tabs>
          <w:tab w:val="left" w:pos="2710"/>
        </w:tabs>
        <w:spacing w:after="0"/>
        <w:rPr>
          <w:sz w:val="24"/>
          <w:szCs w:val="24"/>
          <w:lang w:val="de-CH"/>
        </w:rPr>
      </w:pPr>
      <w:r w:rsidRPr="00787D19">
        <w:rPr>
          <w:sz w:val="24"/>
          <w:szCs w:val="24"/>
          <w:lang w:val="de-CH"/>
        </w:rPr>
        <w:t>Haushalte</w:t>
      </w:r>
    </w:p>
    <w:p w14:paraId="48BC5846" w14:textId="77777777" w:rsidR="00787D19" w:rsidRPr="00787D19" w:rsidRDefault="00787D19" w:rsidP="00787D19">
      <w:pPr>
        <w:pStyle w:val="Listenabsatz"/>
        <w:numPr>
          <w:ilvl w:val="0"/>
          <w:numId w:val="9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Fehlendes Bewusstsein über eigenen Food Waste</w:t>
      </w:r>
    </w:p>
    <w:p w14:paraId="7C934EF7" w14:textId="77777777" w:rsidR="00787D19" w:rsidRPr="00787D19" w:rsidRDefault="00787D19" w:rsidP="00787D19">
      <w:pPr>
        <w:pStyle w:val="Listenabsatz"/>
        <w:numPr>
          <w:ilvl w:val="0"/>
          <w:numId w:val="9"/>
        </w:numPr>
        <w:tabs>
          <w:tab w:val="left" w:pos="2710"/>
        </w:tabs>
        <w:rPr>
          <w:rFonts w:ascii="Arial" w:hAnsi="Arial" w:cs="Arial"/>
          <w:lang w:val="de-CH"/>
        </w:rPr>
      </w:pPr>
      <w:r w:rsidRPr="00787D19">
        <w:rPr>
          <w:rFonts w:ascii="Arial" w:hAnsi="Arial" w:cs="Arial"/>
          <w:lang w:val="de-CH"/>
        </w:rPr>
        <w:t>Fehlende Wertschätzung von Nahrungsmitteln</w:t>
      </w:r>
    </w:p>
    <w:sectPr w:rsidR="00787D19" w:rsidRPr="00787D19" w:rsidSect="00787D19">
      <w:pgSz w:w="11905" w:h="16837"/>
      <w:pgMar w:top="1700" w:right="1133" w:bottom="170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CB30" w14:textId="77777777" w:rsidR="00A20637" w:rsidRDefault="00536C27">
      <w:pPr>
        <w:spacing w:after="0" w:line="240" w:lineRule="auto"/>
      </w:pPr>
      <w:r>
        <w:separator/>
      </w:r>
    </w:p>
  </w:endnote>
  <w:endnote w:type="continuationSeparator" w:id="0">
    <w:p w14:paraId="38842950" w14:textId="77777777" w:rsidR="00A20637" w:rsidRDefault="0053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76EA" w14:textId="77777777" w:rsidR="00147379" w:rsidRDefault="001473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5193" w14:textId="77777777" w:rsidR="00364DA4" w:rsidRPr="00787D19" w:rsidRDefault="00536C27">
    <w:pPr>
      <w:pStyle w:val="center"/>
      <w:rPr>
        <w:lang w:val="de-CH"/>
      </w:rPr>
    </w:pPr>
    <w:r w:rsidRPr="00787D19">
      <w:rPr>
        <w:lang w:val="de-CH"/>
      </w:rPr>
      <w:t>Welche Folgen hat Food Waste?</w:t>
    </w:r>
    <w:r w:rsidR="00147379">
      <w:rPr>
        <w:lang w:val="de-CH"/>
      </w:rPr>
      <w:t xml:space="preserve"> - Lösungen</w:t>
    </w:r>
  </w:p>
  <w:p w14:paraId="7FEB4625" w14:textId="33B481FB" w:rsidR="00364DA4" w:rsidRDefault="00536C27">
    <w:pPr>
      <w:jc w:val="center"/>
    </w:pPr>
    <w:r>
      <w:fldChar w:fldCharType="begin"/>
    </w:r>
    <w:r>
      <w:instrText>PAGE</w:instrText>
    </w:r>
    <w:r>
      <w:fldChar w:fldCharType="separate"/>
    </w:r>
    <w:r w:rsidR="00DF4F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1A78" w14:textId="77777777" w:rsidR="00364DA4" w:rsidRPr="00787D19" w:rsidRDefault="00787D19" w:rsidP="00787D19">
    <w:pPr>
      <w:pStyle w:val="Fuzeile"/>
      <w:jc w:val="center"/>
      <w:rPr>
        <w:lang w:val="de-CH"/>
      </w:rPr>
    </w:pPr>
    <w:r w:rsidRPr="00787D19">
      <w:rPr>
        <w:lang w:val="de-CH"/>
      </w:rPr>
      <w:t>Ursachen von Food Waste überblicken und unterscheiden</w:t>
    </w:r>
    <w:r w:rsidR="00147379">
      <w:rPr>
        <w:lang w:val="de-CH"/>
      </w:rPr>
      <w:t xml:space="preserve"> - Lösungen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F2EE0" w14:textId="77777777" w:rsidR="00A20637" w:rsidRDefault="00536C27">
      <w:pPr>
        <w:spacing w:after="0" w:line="240" w:lineRule="auto"/>
      </w:pPr>
      <w:r>
        <w:separator/>
      </w:r>
    </w:p>
  </w:footnote>
  <w:footnote w:type="continuationSeparator" w:id="0">
    <w:p w14:paraId="2AD898AA" w14:textId="77777777" w:rsidR="00A20637" w:rsidRDefault="0053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6B02" w14:textId="77777777" w:rsidR="00147379" w:rsidRDefault="001473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4BA5" w14:textId="77777777" w:rsidR="00147379" w:rsidRDefault="001473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20"/>
      <w:gridCol w:w="1598"/>
      <w:gridCol w:w="3244"/>
    </w:tblGrid>
    <w:tr w:rsidR="00364DA4" w14:paraId="6D87BCCD" w14:textId="77777777">
      <w:tc>
        <w:tcPr>
          <w:tcW w:w="0" w:type="auto"/>
        </w:tcPr>
        <w:p w14:paraId="0EE61584" w14:textId="77777777" w:rsidR="00364DA4" w:rsidRDefault="00787D19">
          <w:r>
            <w:rPr>
              <w:noProof/>
              <w:lang w:val="de-CH"/>
            </w:rPr>
            <w:drawing>
              <wp:inline distT="0" distB="0" distL="0" distR="0" wp14:anchorId="68ABE093" wp14:editId="24D358B2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2BD41CBB" w14:textId="77777777" w:rsidR="00364DA4" w:rsidRDefault="00364DA4"/>
      </w:tc>
      <w:tc>
        <w:tcPr>
          <w:tcW w:w="0" w:type="auto"/>
          <w:vAlign w:val="bottom"/>
        </w:tcPr>
        <w:p w14:paraId="035EF91F" w14:textId="77777777" w:rsidR="00364DA4" w:rsidRDefault="00536C27">
          <w:r>
            <w:rPr>
              <w:rStyle w:val="headerFont"/>
            </w:rPr>
            <w:t>leben-vorbereiten.lu.ch</w:t>
          </w:r>
        </w:p>
      </w:tc>
    </w:tr>
  </w:tbl>
  <w:p w14:paraId="0B62FA90" w14:textId="77777777" w:rsidR="00364DA4" w:rsidRPr="00787D19" w:rsidRDefault="00364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97F3B9"/>
    <w:multiLevelType w:val="hybridMultilevel"/>
    <w:tmpl w:val="A468B650"/>
    <w:lvl w:ilvl="0" w:tplc="C52A9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324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44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7F87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364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22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689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78AA9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CA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5B32F0B"/>
    <w:multiLevelType w:val="hybridMultilevel"/>
    <w:tmpl w:val="E8A8F95E"/>
    <w:lvl w:ilvl="0" w:tplc="18D88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501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8C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143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8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ED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788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F8D5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A7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75656"/>
    <w:multiLevelType w:val="hybridMultilevel"/>
    <w:tmpl w:val="CFF2F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5972"/>
    <w:multiLevelType w:val="hybridMultilevel"/>
    <w:tmpl w:val="52DC14D2"/>
    <w:lvl w:ilvl="0" w:tplc="BDD416A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72A9"/>
    <w:multiLevelType w:val="hybridMultilevel"/>
    <w:tmpl w:val="3334BE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656"/>
    <w:multiLevelType w:val="hybridMultilevel"/>
    <w:tmpl w:val="0BFC0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6BB"/>
    <w:multiLevelType w:val="hybridMultilevel"/>
    <w:tmpl w:val="337A4018"/>
    <w:lvl w:ilvl="0" w:tplc="5C90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8D7"/>
    <w:multiLevelType w:val="hybridMultilevel"/>
    <w:tmpl w:val="F90E4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D5BB8"/>
    <w:multiLevelType w:val="multilevel"/>
    <w:tmpl w:val="895C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A4"/>
    <w:rsid w:val="00072151"/>
    <w:rsid w:val="00147379"/>
    <w:rsid w:val="00364DA4"/>
    <w:rsid w:val="003E17B3"/>
    <w:rsid w:val="00536C27"/>
    <w:rsid w:val="00560168"/>
    <w:rsid w:val="00616834"/>
    <w:rsid w:val="00787D19"/>
    <w:rsid w:val="0099299C"/>
    <w:rsid w:val="00A20637"/>
    <w:rsid w:val="00B14060"/>
    <w:rsid w:val="00CA70F6"/>
    <w:rsid w:val="00DC440F"/>
    <w:rsid w:val="00D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E370454"/>
  <w15:docId w15:val="{C1A04020-886F-4F25-9789-D79EDF6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F57C63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F57C63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F57C63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F57C63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paragraph" w:styleId="Listenabsatz">
    <w:name w:val="List Paragraph"/>
    <w:basedOn w:val="Standard"/>
    <w:uiPriority w:val="34"/>
    <w:qFormat/>
    <w:rsid w:val="00787D1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787D1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D19"/>
  </w:style>
  <w:style w:type="paragraph" w:styleId="Fuzeile">
    <w:name w:val="footer"/>
    <w:basedOn w:val="Standard"/>
    <w:link w:val="FuzeileZchn"/>
    <w:uiPriority w:val="99"/>
    <w:unhideWhenUsed/>
    <w:rsid w:val="007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D19"/>
  </w:style>
  <w:style w:type="character" w:styleId="Hyperlink">
    <w:name w:val="Hyperlink"/>
    <w:basedOn w:val="Absatz-Standardschriftart"/>
    <w:uiPriority w:val="99"/>
    <w:unhideWhenUsed/>
    <w:rsid w:val="00787D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4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4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pp.wisemapping.com/c/maps/1128968/public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2</cp:revision>
  <dcterms:created xsi:type="dcterms:W3CDTF">2021-05-17T14:10:00Z</dcterms:created>
  <dcterms:modified xsi:type="dcterms:W3CDTF">2021-05-17T14:10:00Z</dcterms:modified>
  <cp:category/>
</cp:coreProperties>
</file>